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1" w:name="_GoBack"/>
      <w:bookmarkEnd w:id="1"/>
      <w:r>
        <w:rPr>
          <w:rFonts w:hint="default" w:ascii="Times New Roman" w:hAnsi="Times New Roman" w:eastAsia="方正小标宋简体" w:cs="Times New Roman"/>
          <w:sz w:val="44"/>
          <w:szCs w:val="44"/>
        </w:rPr>
        <w:t>眉山城市新中心投资运营有限公司简介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before="0" w:line="560" w:lineRule="exact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城市新中心投资运营有限公司（简称新投公司）成立于2022年1月30日，属眉山市国有资本投资运营集团有限公司旗下全资二级国有公司，注册资本10亿元。内设综合管理部、产城投资部、产城运维部、产城规划部、财务融资部、审计合规部、纪检监察部、工程建设部（安全环保部）、成本合约部共9个部门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下属全资子公司新投实业公司、</w:t>
      </w:r>
      <w:r>
        <w:rPr>
          <w:rFonts w:hint="eastAsia" w:eastAsia="仿宋_GB2312" w:cs="Times New Roman"/>
          <w:sz w:val="32"/>
          <w:szCs w:val="32"/>
          <w:highlight w:val="none"/>
          <w:lang w:eastAsia="zh-CN"/>
        </w:rPr>
        <w:t>项目公司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实体运行，受集团委托代管</w:t>
      </w:r>
      <w:r>
        <w:rPr>
          <w:rFonts w:hint="eastAsia" w:eastAsia="仿宋_GB2312" w:cs="Times New Roman"/>
          <w:sz w:val="32"/>
          <w:szCs w:val="32"/>
          <w:highlight w:val="none"/>
          <w:lang w:eastAsia="zh-CN"/>
        </w:rPr>
        <w:t>眉山市城投园林景观工程有限公司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default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业务范围涵盖项目投融资管理、市政基础设施及公共设施建设、产业投资、能源管理、城市运维管理、工程管理服务、物业管理、企业总部管理、房地产开发经营等领域。2022年，城市新中心18条市政道路、太和老镇、太和公园等项目开工建设，完成新中心片区开发投资30亿元，实现营业收入8000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default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新投公司将立足眉山城市新中心综合运营商定位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坚持“市场化运作、实体化经营、平台化整合、专业化推进、协同化发展”的经营思路，聚焦新城建设、改善居住、产业投运、物业城市四大核心业务，推进眉山城市新中心建设成为“城市样板间、创业首选地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（一）</w:t>
      </w: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眉山康居建设投资有限公司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眉山康居建设投资有限公司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日，公司确立“深耕广拓”的战略布局。立志成为本地房产行业领军国有企业；在巩固住宅开发和物业服务固有优势的基础上，拓展多元化体系，进军公寓式酒店、历史文化</w:t>
      </w:r>
      <w:r>
        <w:rPr>
          <w:rFonts w:hint="eastAsia" w:eastAsia="仿宋_GB2312" w:cs="Times New Roman"/>
          <w:sz w:val="32"/>
          <w:szCs w:val="32"/>
          <w:lang w:eastAsia="zh-CN"/>
        </w:rPr>
        <w:t>商业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街、EOD综合体、TOD综合体及城市地标等业态领域，全力构建保障生活服务的智能</w:t>
      </w:r>
      <w:r>
        <w:rPr>
          <w:rFonts w:hint="eastAsia" w:ascii="仿宋_GB2312" w:hAnsi="仿宋_GB2312" w:eastAsia="仿宋_GB2312" w:cs="仿宋_GB2312"/>
          <w:sz w:val="32"/>
          <w:szCs w:val="32"/>
        </w:rPr>
        <w:t>运营平台。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</w:rPr>
        <w:t>眉山新投实业有限公司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眉山新投实业有限公司成立于2022年8月8日，经营范围主要</w:t>
      </w:r>
      <w:r>
        <w:rPr>
          <w:rFonts w:hint="eastAsia" w:eastAsia="仿宋_GB2312" w:cs="Times New Roman"/>
          <w:sz w:val="32"/>
          <w:szCs w:val="32"/>
          <w:lang w:eastAsia="zh-CN"/>
        </w:rPr>
        <w:t>包括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建筑材料、大宗商品销售、供应链管理服务、充电桩运营、国内贸易代理、仓单登记服务、商业项目运营等。2022年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实现经营性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收入8000万元。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（三）</w:t>
      </w: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眉山市城投园林景观工程有限公司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眉山市城投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园林景观工程有限公司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始建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于2013年</w:t>
      </w:r>
      <w:r>
        <w:rPr>
          <w:rFonts w:hint="eastAsia" w:eastAsia="仿宋_GB2312" w:cs="Times New Roman"/>
          <w:sz w:val="32"/>
          <w:szCs w:val="32"/>
          <w:lang w:eastAsia="zh-CN"/>
        </w:rPr>
        <w:t>，于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2021年9月，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完成企业混改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是集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园林景观工程设计、施工、养护、市政公用工程、生态修复、水生态治理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等全产业链发展的园林景观生态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系统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运营商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公司成立以来，完成多个园林绿化项目，积累了丰富的施工和养护管理经验，取得了良好的生态效益、社会效益，受到社会各界好评。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44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241300</wp:posOffset>
            </wp:positionV>
            <wp:extent cx="5636895" cy="3357245"/>
            <wp:effectExtent l="0" t="0" r="1905" b="14605"/>
            <wp:wrapNone/>
            <wp:docPr id="2" name="图片 2" descr="6ff438c2b96c296482be496130c73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f438c2b96c296482be496130c73b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眉山市城交建供应链管理有限公司简介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眉山市城交建供应链管理有限公司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成立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于2020年2月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属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眉山市国有资本投资运营集团有限公司</w:t>
      </w:r>
      <w:r>
        <w:rPr>
          <w:rFonts w:hint="eastAsia" w:eastAsia="仿宋_GB2312" w:cs="仿宋_GB2312"/>
          <w:sz w:val="32"/>
          <w:szCs w:val="32"/>
          <w:lang w:val="en-US" w:eastAsia="zh-CN"/>
        </w:rPr>
        <w:t>直接管理子</w:t>
      </w:r>
      <w:r>
        <w:rPr>
          <w:rFonts w:hint="eastAsia" w:eastAsia="仿宋_GB2312" w:cs="仿宋_GB2312"/>
          <w:sz w:val="32"/>
          <w:szCs w:val="32"/>
          <w:lang w:eastAsia="zh-CN"/>
        </w:rPr>
        <w:t>公司，</w:t>
      </w:r>
      <w:r>
        <w:rPr>
          <w:rFonts w:hint="eastAsia" w:eastAsia="仿宋_GB2312" w:cs="仿宋_GB2312"/>
          <w:sz w:val="32"/>
          <w:szCs w:val="32"/>
          <w:lang w:val="en-US" w:eastAsia="zh-CN"/>
        </w:rPr>
        <w:t>位于眉山市东坡区眉州大道东三段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186</w:t>
      </w:r>
      <w:r>
        <w:rPr>
          <w:rFonts w:hint="eastAsia" w:eastAsia="仿宋_GB2312" w:cs="仿宋_GB2312"/>
          <w:sz w:val="32"/>
          <w:szCs w:val="32"/>
          <w:lang w:val="en-US" w:eastAsia="zh-CN"/>
        </w:rPr>
        <w:t>号阳光天天向上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eastAsia="仿宋_GB2312" w:cs="仿宋_GB2312"/>
          <w:sz w:val="32"/>
          <w:szCs w:val="32"/>
          <w:lang w:val="en-US" w:eastAsia="zh-CN"/>
        </w:rPr>
        <w:t>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eastAsia="仿宋_GB2312" w:cs="仿宋_GB2312"/>
          <w:sz w:val="32"/>
          <w:szCs w:val="32"/>
          <w:lang w:val="en-US" w:eastAsia="zh-CN"/>
        </w:rPr>
        <w:t>单元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eastAsia="仿宋_GB2312" w:cs="仿宋_GB2312"/>
          <w:sz w:val="32"/>
          <w:szCs w:val="32"/>
          <w:lang w:val="en-US" w:eastAsia="zh-CN"/>
        </w:rPr>
        <w:t>楼。公司</w:t>
      </w:r>
      <w:r>
        <w:rPr>
          <w:rFonts w:hint="eastAsia" w:ascii="Times New Roman" w:hAnsi="Times New Roman" w:eastAsia="仿宋_GB2312" w:cs="仿宋_GB2312"/>
          <w:sz w:val="32"/>
          <w:szCs w:val="32"/>
        </w:rPr>
        <w:t>注册资本</w:t>
      </w:r>
      <w:r>
        <w:rPr>
          <w:rFonts w:hint="default"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亿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元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员工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人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</w:t>
      </w:r>
      <w:bookmarkStart w:id="0" w:name="OLE_LINK1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年连续三年获得集团公司年度先进集体称号</w:t>
      </w:r>
      <w:bookmarkEnd w:id="0"/>
      <w:r>
        <w:rPr>
          <w:rFonts w:hint="eastAsia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eastAsia="仿宋_GB2312" w:cs="仿宋_GB2312"/>
          <w:sz w:val="32"/>
          <w:szCs w:val="32"/>
          <w:lang w:val="en-US" w:eastAsia="zh-CN"/>
        </w:rPr>
        <w:t>公司</w:t>
      </w:r>
      <w:r>
        <w:rPr>
          <w:rFonts w:hint="eastAsia" w:eastAsia="仿宋_GB2312" w:cs="仿宋_GB2312"/>
          <w:sz w:val="32"/>
          <w:szCs w:val="32"/>
          <w:lang w:eastAsia="zh-CN"/>
        </w:rPr>
        <w:t>主要从事建材等大宗</w:t>
      </w:r>
      <w:r>
        <w:rPr>
          <w:rFonts w:hint="eastAsia" w:ascii="Times New Roman" w:hAnsi="Times New Roman" w:eastAsia="仿宋_GB2312" w:cs="仿宋_GB2312"/>
          <w:sz w:val="32"/>
          <w:szCs w:val="32"/>
        </w:rPr>
        <w:t>物资贸易、</w:t>
      </w:r>
      <w:r>
        <w:rPr>
          <w:rFonts w:hint="eastAsia" w:eastAsia="仿宋_GB2312" w:cs="仿宋_GB2312"/>
          <w:sz w:val="32"/>
          <w:szCs w:val="32"/>
          <w:lang w:eastAsia="zh-CN"/>
        </w:rPr>
        <w:t>道路运输</w:t>
      </w:r>
      <w:r>
        <w:rPr>
          <w:rFonts w:hint="eastAsia" w:ascii="Times New Roman" w:hAnsi="Times New Roman" w:eastAsia="仿宋_GB2312" w:cs="仿宋_GB2312"/>
          <w:sz w:val="32"/>
          <w:szCs w:val="32"/>
        </w:rPr>
        <w:t>等</w:t>
      </w:r>
      <w:r>
        <w:rPr>
          <w:rFonts w:hint="eastAsia" w:eastAsia="仿宋_GB2312" w:cs="仿宋_GB2312"/>
          <w:sz w:val="32"/>
          <w:szCs w:val="32"/>
          <w:lang w:eastAsia="zh-CN"/>
        </w:rPr>
        <w:t>业务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围绕主责主业，以产业运营为核心，形成“建材生产、物资供应链、大宗集采、物流运输”四大业务板块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，是产业链供需之间交易的桥梁与纽带。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</w:t>
      </w:r>
      <w:r>
        <w:rPr>
          <w:rFonts w:hint="eastAsia" w:ascii="Times New Roman" w:hAnsi="Times New Roman" w:eastAsia="仿宋_GB2312"/>
          <w:sz w:val="32"/>
          <w:szCs w:val="32"/>
        </w:rPr>
        <w:t>年公司实现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营业收入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亿、利润总额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00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司资产总额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27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亿元，净资产收益率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74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%，国有资产保值增值率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114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围绕市委市政府“1+3”产业布局，聚力“三市一城”建设，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  <w:lang w:val="en-US" w:eastAsia="zh-CN"/>
        </w:rPr>
        <w:t>以发展高质量供应链为目标，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打造“三个国投”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  <w:t>实现“百亿营收”，成就“千亿国投”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  <w:lang w:val="en-US" w:eastAsia="zh-CN"/>
        </w:rPr>
        <w:t>贡献供应链力量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</w:rPr>
      </w:pPr>
    </w:p>
    <w:p>
      <w:pPr>
        <w:pStyle w:val="2"/>
        <w:jc w:val="left"/>
        <w:rPr>
          <w:rFonts w:hint="default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498465" cy="4572000"/>
            <wp:effectExtent l="0" t="0" r="6985" b="0"/>
            <wp:docPr id="1" name="图片 1" descr="城交建供应链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交建供应链公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眉山市城市和交通建设投资有限公司简介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1"/>
        <w:jc w:val="both"/>
        <w:textAlignment w:val="auto"/>
        <w:rPr>
          <w:rFonts w:hint="eastAsia" w:eastAsia="仿宋_GB2312" w:cs="Times New Roman"/>
          <w:color w:val="auto"/>
          <w:kern w:val="2"/>
          <w:sz w:val="32"/>
          <w:lang w:eastAsia="zh-CN" w:bidi="ar-SA"/>
        </w:rPr>
      </w:pP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眉山市城市和交通建设投资有限公司（简称市城交建公司）成立于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2022年3月，是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eastAsia="zh-CN" w:bidi="ar-SA"/>
        </w:rPr>
        <w:t>眉山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市国有资本投资运营集团有限公司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eastAsia="zh-CN" w:bidi="ar-SA"/>
        </w:rPr>
        <w:t>（简称眉山国投集团）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根据国企改革战略部署，整合原市城投公司和市恒信交投公司成立的全资国有二级企业，注册资本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5亿元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</w:pP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市城交建公司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现有员工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300余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人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现有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总资产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>124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亿元，净资产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50.8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亿元。</w:t>
      </w:r>
      <w:r>
        <w:rPr>
          <w:rFonts w:hint="eastAsia" w:eastAsia="仿宋_GB2312" w:cs="Times New Roman"/>
          <w:sz w:val="32"/>
          <w:szCs w:val="32"/>
          <w:lang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以独资、控股、参股等方式从事国有资产投资运营活动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旗下有</w:t>
      </w:r>
      <w:r>
        <w:rPr>
          <w:rFonts w:hint="eastAsia" w:eastAsia="仿宋_GB2312" w:cs="Times New Roman"/>
          <w:sz w:val="32"/>
          <w:szCs w:val="32"/>
          <w:lang w:eastAsia="zh-CN"/>
        </w:rPr>
        <w:t>市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城投建材公司、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政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工程公司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四川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固恒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兴眉置业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、青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神城市资源公司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体投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公司、市城交建混凝土公司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等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21家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全资（控股、参股）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子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公司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1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业务涵盖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城市开发与建设、交通基础设施建设、城市运营与服务、教育体育</w:t>
      </w:r>
      <w:r>
        <w:rPr>
          <w:rFonts w:hint="eastAsia" w:eastAsia="仿宋_GB2312" w:cs="Times New Roman"/>
          <w:sz w:val="32"/>
          <w:szCs w:val="32"/>
          <w:lang w:eastAsia="zh-CN"/>
        </w:rPr>
        <w:t>服务和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产业投资等多个领域。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aseline"/>
        <w:rPr>
          <w:rFonts w:hint="eastAsia" w:eastAsia="仿宋_GB2312" w:cs="Times New Roman"/>
          <w:sz w:val="32"/>
          <w:szCs w:val="32"/>
          <w:lang w:eastAsia="zh-CN"/>
        </w:rPr>
      </w:pPr>
      <w:r>
        <w:rPr>
          <w:rFonts w:hint="eastAsia" w:eastAsia="仿宋_GB2312" w:cs="Times New Roman"/>
          <w:sz w:val="32"/>
          <w:szCs w:val="32"/>
          <w:lang w:eastAsia="zh-CN"/>
        </w:rPr>
        <w:t>市城交建公司坚持以习近平新时代中国特色社会主义思想为指引，贯彻落实党的二十大精神和习近平总书记来川视察重要指示精神，全力融入眉山“制造强市、开放兴市、品质立市”，奋力建设“成都都市经济圈高质量发展新兴城市”，锚定集团“三个国投”“百亿营收”目标，着力将公司打造成“三军一商”：城市开发主力军、交通建设生力军、产业投资集团军，区域内一流城市开发和交通建设综合服务商，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en-US"/>
        </w:rPr>
        <w:t>力争2025年资产规模达200亿元，全面</w:t>
      </w:r>
      <w:r>
        <w:rPr>
          <w:rFonts w:hint="eastAsia" w:eastAsia="仿宋_GB2312" w:cs="Times New Roman"/>
          <w:sz w:val="32"/>
          <w:szCs w:val="32"/>
          <w:lang w:eastAsia="zh-CN"/>
        </w:rPr>
        <w:t>开启公司发展新征程。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眉山市城投市政工程有限责任公司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为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眉山市城市和交通建设投资有限公司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下属三级公司，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成立于2016年，下辖6个部门，现有员工60余人。公司以“房屋建筑、市政施工总承包”和“项目代建代管”为主管业务。自2020年取得施工总承包资质以来，先后参与多个重点民生项目建设，获评“绿色环保工地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2022年度第二批眉山市安全生产文明施工标准化工地”等荣誉。同时积极参与市场化竞争，2022年参与招投标39次，累计中标价4.17亿元。</w:t>
      </w:r>
    </w:p>
    <w:p>
      <w:pPr>
        <w:bidi w:val="0"/>
        <w:ind w:firstLine="253" w:firstLineChars="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614035" cy="2985135"/>
            <wp:effectExtent l="0" t="0" r="5715" b="5715"/>
            <wp:docPr id="6" name="图片 6" descr="6ce8ff3a5f7a45ede2668cea240c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e8ff3a5f7a45ede2668cea240c3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眉山市环境投资有限公司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简介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left="119"/>
        <w:jc w:val="lef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始建于1977年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属眉山市国有资本投资运营集团有限公司旗下全资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二级</w:t>
      </w:r>
      <w:r>
        <w:rPr>
          <w:rFonts w:ascii="Times New Roman" w:hAnsi="Times New Roman" w:eastAsia="仿宋_GB2312" w:cs="Times New Roman"/>
          <w:sz w:val="32"/>
          <w:szCs w:val="32"/>
        </w:rPr>
        <w:t>国有公司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注册资本2.6亿元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公司现有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分公司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子公司（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全资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控股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，职工（含下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属公司）约400人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2022年实现营业收入3.4亿元，同比增长率为39.83%。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截至2022年12月末，公司资产总额18.72亿元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公司已构建形成环境治理、水务运营、工程建设三大业务体系，</w:t>
      </w:r>
      <w:r>
        <w:rPr>
          <w:rFonts w:hint="eastAsia" w:ascii="Times New Roman" w:eastAsia="仿宋_GB2312" w:cs="Times New Roman"/>
          <w:sz w:val="32"/>
          <w:szCs w:val="32"/>
          <w:highlight w:val="none"/>
          <w:lang w:val="en-US" w:eastAsia="zh-CN"/>
        </w:rPr>
        <w:t>业务范围主要包括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自来水生产供应、污水处理、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固废综合利用、生态环境治理、水资源开发利用、工程建设等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公司紧紧围绕市委市政府“三市一城”战略总体目标，牢牢把握“双碳”时代机遇，积极向环境产业转型发展，立足眉山，面向全国，力争成为国内具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有竞争力和影响力的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综合服务类环境公司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为眉山市“1+3产业”绿色低碳高质量发展贡献力量。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公司成立于2001年12月，2022年8月更名为眉山环投建设工程有限公司。公司注册资本1亿元人民币，系眉山市环境投资有限公司全资子公司，隶属于“眉山市国有资本投资运营集团有限公司”三级子公司。公司主要从事市政给排水管网安装、维护和户表安装工程，房屋建筑和市政基础设施项目工程总承包，消防设施工程施工，电力设施承装、承修、承试和建筑劳务分包等各类工程建设业务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588000" cy="4191000"/>
            <wp:effectExtent l="0" t="0" r="12700" b="0"/>
            <wp:docPr id="3" name="图片 3" descr="微信图片_2023040616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06161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眉山市农业投资有限公司简介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left="119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眉山市农业投资有限公司（简称市农投公司）成立于2022年4月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，注册资本2亿元，</w:t>
      </w:r>
      <w:r>
        <w:rPr>
          <w:rFonts w:hint="eastAsia" w:eastAsia="仿宋_GB2312" w:cs="Times New Roman"/>
          <w:sz w:val="32"/>
          <w:szCs w:val="32"/>
          <w:lang w:eastAsia="zh-CN"/>
        </w:rPr>
        <w:t>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眉山市国有资本投资运营集团有限公司下属二级全资公司。目前，公司拥有全资及控股企业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家，员工1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0余人。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紧扣“服务三农”主线，围绕乡村振兴战略和眉山市“2+3+N”现代农业产业体系构建，以助力建设都市现代绿色农业强市和全国乡村振兴示范区为目标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依托旗下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家全资及控股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子公司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，立足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农业产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业，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布局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粮食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储备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、食材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配送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农业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贸易、乡村建设、医疗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健康等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领域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shd w:val="clear" w:color="auto" w:fill="FFFFFF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传承三苏文化的包容与创新，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/>
        </w:rPr>
        <w:t>勇做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乡村振兴战略的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/>
        </w:rPr>
        <w:t>助力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都市现代农业的探索者、城乡融合发展的践行者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着力打造成为集农产品生产、加工、仓储、贸易和乡村建设、智慧农业、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医疗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康养、生活服务商于一体的乡村振兴现代化国有领军企业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服务现代农业，助力乡村振兴。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眉山市眉州建工有限公司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眉山市农业投资有限公司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下属三级公司，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2020年4月</w:t>
      </w:r>
      <w:r>
        <w:rPr>
          <w:rFonts w:hint="eastAsia" w:ascii="仿宋_GB2312" w:hAnsi="仿宋_GB2312" w:eastAsia="仿宋_GB2312" w:cs="仿宋_GB2312"/>
          <w:sz w:val="32"/>
          <w:szCs w:val="32"/>
        </w:rPr>
        <w:t>，是眉山市农业投资有限公司的控股子公司，注册资本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亿元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bidi="ar-SA"/>
        </w:rPr>
        <w:t>公司是集市政公用工程、建筑工程、公路工程、公路工程养护、钢结构工程、环保工程等工程投资、施工及项目投资运营为一体的综合性国有企业，具有精湛的技术能力和丰富的项目施工经验。</w:t>
      </w:r>
      <w:r>
        <w:rPr>
          <w:rFonts w:ascii="Times New Roman" w:hAnsi="Times New Roman" w:eastAsia="仿宋_GB2312"/>
          <w:sz w:val="32"/>
          <w:szCs w:val="32"/>
        </w:rPr>
        <w:t>秉持市场化运营理念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不断谋划多元发展，做大做强主责主业，创造“建工品牌、建工速度”精品工程。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eastAsia="仿宋_GB2312"/>
          <w:lang w:val="en-US" w:eastAsia="zh-CN"/>
        </w:rPr>
        <w:t xml:space="preserve">      </w: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13400" cy="3314700"/>
            <wp:effectExtent l="0" t="0" r="6350" b="0"/>
            <wp:docPr id="8" name="图片 8" descr="2267d1714fa2612af69130a1f518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67d1714fa2612af69130a1f5188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t>眉山市大数据产业发展有限公司简介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眉山市大数据产业发展有限公司成立于2022年4月，是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眉山市委、市政府批准成立的市属国有全资公司，隶属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眉山市国有资本投资运营集团有限公司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，注册资本1亿元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拥有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1家分公司—智慧城市管理分公司，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1家全资子公司—四川天府云大数据产业投资有限公司，1家控股子公司—眉山市兴眉科技有限公司。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紧紧围绕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市委“三市一城”战略目标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坚持“城市数字底座建设者、智慧城市投资运营商、大数据产业生态服务商”的发展定位，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整合全市数据资源，聚焦全市数据资源的开发和运营，致力于打造全省一流数字经济生态，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当好数字眉山建设主力军，优化城市治理、赋能产业升级、改善社会民生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赋能智慧国投建设。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以“融合创新、聚焦主业、数字赋能、合作共赢”为工作思路，通过市场化运作、高端人才引培，携手全国头部企业、本地龙头企业，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开展智慧应用场景建设、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数字基础设施建设、政务和公共数据治理开发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智慧城市投资建设运营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、大数据产业孵化、产才融合建设、智慧停车运营管理、新能源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业务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公司将不断致力于实现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各类数据资源归集、管理利用和再开发，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积极探索政务、社会数据的融合应用，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通过大数据赋能实现政务和公共服务管理的能效提升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纵深推动大数据与实体经济深度融合，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为加快发展眉山数字经济和新型智慧城市建设注入强劲动力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申报四川省数字经济高新技术创新企业，发展成为全省领先智慧城市综合运营商。</w:t>
      </w:r>
    </w:p>
    <w:p>
      <w:pPr>
        <w:jc w:val="left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129540</wp:posOffset>
            </wp:positionV>
            <wp:extent cx="5551170" cy="4163695"/>
            <wp:effectExtent l="0" t="0" r="11430" b="8255"/>
            <wp:wrapTopAndBottom/>
            <wp:docPr id="7" name="图片 7" descr="ec706ce51021aec65b22aa76def6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706ce51021aec65b22aa76def6b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2098" w:right="1474" w:bottom="1928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-451485</wp:posOffset>
              </wp:positionV>
              <wp:extent cx="1033780" cy="58928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58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5.55pt;height:46.4pt;width:81.4pt;mso-position-horizontal:outside;mso-position-horizontal-relative:margin;z-index:251659264;mso-width-relative:page;mso-height-relative:page;" filled="f" stroked="f" coordsize="21600,21600" o:gfxdata="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u0u0PVAAAABwEAAA8AAAAAAAAAAQAgAAAAIgAAAGRycy9kb3ducmV2&#10;LnhtbFBLAQIUABQAAAAIAIdO4kCLEyTFOAIAAGI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Style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1C8E35"/>
    <w:multiLevelType w:val="singleLevel"/>
    <w:tmpl w:val="321C8E3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OTYyZWIwMjZhYmRlZDczYjBmZmNmMjkwZDk1M2IifQ=="/>
  </w:docVars>
  <w:rsids>
    <w:rsidRoot w:val="5B6206E1"/>
    <w:rsid w:val="042E2821"/>
    <w:rsid w:val="07047CB4"/>
    <w:rsid w:val="0CC43F97"/>
    <w:rsid w:val="0EA672A1"/>
    <w:rsid w:val="0EDE2DB2"/>
    <w:rsid w:val="10DD5E18"/>
    <w:rsid w:val="11BD7E7D"/>
    <w:rsid w:val="15682936"/>
    <w:rsid w:val="1E061327"/>
    <w:rsid w:val="233F4224"/>
    <w:rsid w:val="23ED3D6C"/>
    <w:rsid w:val="2AEA2DB3"/>
    <w:rsid w:val="2D3002D8"/>
    <w:rsid w:val="32EC51EE"/>
    <w:rsid w:val="3836588A"/>
    <w:rsid w:val="39D0586A"/>
    <w:rsid w:val="3CC071BD"/>
    <w:rsid w:val="3E1D3A1B"/>
    <w:rsid w:val="3F45517A"/>
    <w:rsid w:val="408847A8"/>
    <w:rsid w:val="42D84042"/>
    <w:rsid w:val="430976F7"/>
    <w:rsid w:val="44BC2C73"/>
    <w:rsid w:val="47CE1987"/>
    <w:rsid w:val="4A780D37"/>
    <w:rsid w:val="4B67379D"/>
    <w:rsid w:val="4B6A1902"/>
    <w:rsid w:val="4B9F32EE"/>
    <w:rsid w:val="4C10337F"/>
    <w:rsid w:val="4C467EBD"/>
    <w:rsid w:val="4E822CC1"/>
    <w:rsid w:val="525C7843"/>
    <w:rsid w:val="553A21C1"/>
    <w:rsid w:val="595B35DB"/>
    <w:rsid w:val="5B2053DD"/>
    <w:rsid w:val="5B6206E1"/>
    <w:rsid w:val="5CA72F7C"/>
    <w:rsid w:val="5FB93ADD"/>
    <w:rsid w:val="67B70C59"/>
    <w:rsid w:val="689817A8"/>
    <w:rsid w:val="68DD717B"/>
    <w:rsid w:val="691E53FA"/>
    <w:rsid w:val="6B72274E"/>
    <w:rsid w:val="6EE94BAD"/>
    <w:rsid w:val="706A7177"/>
    <w:rsid w:val="7748484E"/>
    <w:rsid w:val="7A216E53"/>
    <w:rsid w:val="7A9862F1"/>
    <w:rsid w:val="7B5873DD"/>
    <w:rsid w:val="7BFA02DB"/>
    <w:rsid w:val="7F1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adjustRightInd w:val="0"/>
      <w:spacing w:before="89"/>
      <w:ind w:left="120"/>
      <w:jc w:val="left"/>
    </w:pPr>
    <w:rPr>
      <w:rFonts w:ascii="仿宋" w:hAnsi="Times New Roman" w:eastAsia="仿宋" w:cs="仿宋"/>
      <w:kern w:val="0"/>
      <w:sz w:val="32"/>
      <w:szCs w:val="32"/>
    </w:rPr>
  </w:style>
  <w:style w:type="paragraph" w:styleId="3">
    <w:name w:val="Normal Indent"/>
    <w:basedOn w:val="1"/>
    <w:qFormat/>
    <w:uiPriority w:val="99"/>
    <w:pPr>
      <w:snapToGrid w:val="0"/>
      <w:spacing w:line="300" w:lineRule="auto"/>
      <w:ind w:firstLine="556"/>
    </w:pPr>
    <w:rPr>
      <w:rFonts w:ascii="仿宋_GB2312"/>
      <w:szCs w:val="20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0"/>
    </w:rPr>
  </w:style>
  <w:style w:type="character" w:customStyle="1" w:styleId="10">
    <w:name w:val="NormalCharacter"/>
    <w:semiHidden/>
    <w:qFormat/>
    <w:uiPriority w:val="0"/>
  </w:style>
  <w:style w:type="paragraph" w:customStyle="1" w:styleId="11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12">
    <w:name w:val="NormalIndent"/>
    <w:basedOn w:val="1"/>
    <w:qFormat/>
    <w:uiPriority w:val="0"/>
    <w:pPr>
      <w:ind w:firstLine="20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3656</Words>
  <Characters>3813</Characters>
  <Lines>0</Lines>
  <Paragraphs>0</Paragraphs>
  <TotalTime>9</TotalTime>
  <ScaleCrop>false</ScaleCrop>
  <LinksUpToDate>false</LinksUpToDate>
  <CharactersWithSpaces>3819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2023-03-01T05:37:00Z</dcterms:created>
  <dc:creator>Administrator</dc:creator>
  <cp:lastModifiedBy>丑八怪</cp:lastModifiedBy>
  <dcterms:modified xsi:type="dcterms:W3CDTF">2023-04-20T07:01:52Z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6FCEAF5D42AA4D29BF6197F5C56EAD1E_13</vt:lpwstr>
  </property>
</Properties>
</file>